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0CB0C" w14:textId="77777777" w:rsidR="00A927C7" w:rsidRPr="00A927C7" w:rsidRDefault="00A927C7" w:rsidP="00A927C7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</w:pPr>
      <w:r w:rsidRPr="00A927C7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Новый порядок проведения аттестации педагогических работников</w:t>
      </w:r>
    </w:p>
    <w:p w14:paraId="332A8B30" w14:textId="77777777" w:rsidR="00A927C7" w:rsidRPr="00A927C7" w:rsidRDefault="00A927C7" w:rsidP="00A927C7">
      <w:pPr>
        <w:shd w:val="clear" w:color="auto" w:fill="FFFFFF"/>
        <w:spacing w:after="0" w:line="330" w:lineRule="atLeast"/>
        <w:jc w:val="both"/>
        <w:outlineLvl w:val="0"/>
        <w:rPr>
          <w:rFonts w:ascii="Georgia" w:eastAsia="Times New Roman" w:hAnsi="Georgia" w:cs="Times New Roman"/>
          <w:i/>
          <w:iCs/>
          <w:color w:val="444444"/>
          <w:kern w:val="36"/>
          <w:sz w:val="48"/>
          <w:szCs w:val="48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noProof/>
          <w:color w:val="4D469C"/>
          <w:kern w:val="36"/>
          <w:sz w:val="48"/>
          <w:szCs w:val="48"/>
          <w:lang w:eastAsia="ru-RU"/>
        </w:rPr>
        <w:drawing>
          <wp:inline distT="0" distB="0" distL="0" distR="0" wp14:anchorId="1341FA89" wp14:editId="65350F0B">
            <wp:extent cx="1905000" cy="1666875"/>
            <wp:effectExtent l="0" t="0" r="0" b="9525"/>
            <wp:docPr id="1" name="Рисунок 1" descr="http://uprobr.ucoz.ru/_tbkp/2011-04-28_141817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robr.ucoz.ru/_tbkp/2011-04-28_141817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7C7">
        <w:rPr>
          <w:rFonts w:ascii="Georgia" w:eastAsia="Times New Roman" w:hAnsi="Georgia" w:cs="Times New Roman"/>
          <w:i/>
          <w:iCs/>
          <w:color w:val="444444"/>
          <w:kern w:val="36"/>
          <w:sz w:val="24"/>
          <w:szCs w:val="24"/>
          <w:lang w:eastAsia="ru-RU"/>
        </w:rPr>
        <w:t xml:space="preserve">Приказом Министерства образования и науки Российской Федерации от 7 апреля 2014 </w:t>
      </w:r>
      <w:proofErr w:type="spellStart"/>
      <w:r w:rsidRPr="00A927C7">
        <w:rPr>
          <w:rFonts w:ascii="Georgia" w:eastAsia="Times New Roman" w:hAnsi="Georgia" w:cs="Times New Roman"/>
          <w:i/>
          <w:iCs/>
          <w:color w:val="444444"/>
          <w:kern w:val="36"/>
          <w:sz w:val="24"/>
          <w:szCs w:val="24"/>
          <w:lang w:eastAsia="ru-RU"/>
        </w:rPr>
        <w:t>г.N</w:t>
      </w:r>
      <w:proofErr w:type="spellEnd"/>
      <w:r w:rsidRPr="00A927C7">
        <w:rPr>
          <w:rFonts w:ascii="Georgia" w:eastAsia="Times New Roman" w:hAnsi="Georgia" w:cs="Times New Roman"/>
          <w:i/>
          <w:iCs/>
          <w:color w:val="444444"/>
          <w:kern w:val="36"/>
          <w:sz w:val="24"/>
          <w:szCs w:val="24"/>
          <w:lang w:eastAsia="ru-RU"/>
        </w:rPr>
        <w:t xml:space="preserve"> 276 г. утвержден новый </w:t>
      </w:r>
    </w:p>
    <w:p w14:paraId="022A85A3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after="0" w:line="225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"Порядок проведения аттестации педагогических работников организаций, осуществляющих образовательную деятельность". </w:t>
      </w:r>
    </w:p>
    <w:p w14:paraId="34555F7C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Основными задачами проведения аттестации являются:</w:t>
      </w:r>
    </w:p>
    <w:p w14:paraId="4A3CE467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стимулирование целенаправленного, непрерывного повышения уровня квалификации педагогических работников, их методологической культуры, профессионального и личностного роста;</w:t>
      </w:r>
    </w:p>
    <w:p w14:paraId="1D13116C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bookmarkStart w:id="0" w:name="more"/>
      <w:bookmarkEnd w:id="0"/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определение необходимости повышения квалификации педагогических работников;</w:t>
      </w:r>
    </w:p>
    <w:p w14:paraId="7F901314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повышение эффективности и качества педагогической деятельности;</w:t>
      </w:r>
    </w:p>
    <w:p w14:paraId="5538E4F8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выявление перспектив использования потенциальных возможностей педагогических работников;</w:t>
      </w:r>
    </w:p>
    <w:p w14:paraId="02B4DDEE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организаций;</w:t>
      </w:r>
    </w:p>
    <w:p w14:paraId="6FB2B326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(педагогической) работы.</w:t>
      </w:r>
    </w:p>
    <w:p w14:paraId="358FA1C8" w14:textId="77777777" w:rsidR="00A927C7" w:rsidRPr="00A927C7" w:rsidRDefault="00A927C7" w:rsidP="00A927C7">
      <w:pPr>
        <w:pBdr>
          <w:bottom w:val="single" w:sz="6" w:space="0" w:color="auto"/>
        </w:pBdr>
        <w:shd w:val="clear" w:color="auto" w:fill="FFFFFF"/>
        <w:spacing w:line="270" w:lineRule="atLeast"/>
        <w:jc w:val="both"/>
        <w:outlineLvl w:val="1"/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</w:pP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Основными принципами проведения аттестации</w:t>
      </w: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 являются коллегиальность, гласность, открытость, обеспечивающие объективное отношение к педагогическим работникам, недопустимость дискриминации при проведении аттестации.</w:t>
      </w:r>
      <w:bookmarkStart w:id="1" w:name="_GoBack"/>
      <w:bookmarkEnd w:id="1"/>
    </w:p>
    <w:p w14:paraId="623E527E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1.Об имеющихся у работников квалификационных категориях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proofErr w:type="gramStart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Установлено</w:t>
      </w:r>
      <w:proofErr w:type="gram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, что квалификационные категории, установленные педагогического работникам государственных и муниципальных образовательных учреждений ранее, сохраняются в течение срока, на который они были установлены. </w:t>
      </w:r>
    </w:p>
    <w:p w14:paraId="0BEF87A4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7F334636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категории, за ним </w:t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shd w:val="clear" w:color="auto" w:fill="FFFFFF"/>
          <w:lang w:eastAsia="ru-RU"/>
        </w:rPr>
        <w:t>сохраняется первая квалификационная категория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 до истечения срока ее действия.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2. Виды аттестации</w:t>
      </w:r>
    </w:p>
    <w:p w14:paraId="6D198930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lastRenderedPageBreak/>
        <w:br/>
        <w:t>обязательная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— в целях подтверждения соответствия педагогических работников занимаемым ими должностям на основе оценки их профессиональной деятельности;</w:t>
      </w:r>
    </w:p>
    <w:p w14:paraId="07B0F525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добровольная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 — по </w:t>
      </w:r>
      <w:proofErr w:type="gramStart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желанию  педагогического</w:t>
      </w:r>
      <w:proofErr w:type="gram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работника в целях установления первой или высшей квалификационной категории.</w:t>
      </w:r>
    </w:p>
    <w:p w14:paraId="2AB945EA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3. Кто проходит аттестацию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proofErr w:type="gramStart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Аттестуются</w:t>
      </w:r>
      <w:proofErr w:type="gram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все педагогические работники образовательных организаций, осуществляющих образовательную деятельность, в т. ч. совместители, а также работники, совмещающие должности наряду с работой в той же организации, определенной трудовым договором. </w:t>
      </w:r>
    </w:p>
    <w:p w14:paraId="20BBE1B3" w14:textId="77777777" w:rsidR="00A927C7" w:rsidRPr="00A927C7" w:rsidRDefault="00A927C7" w:rsidP="00A927C7">
      <w:pPr>
        <w:shd w:val="clear" w:color="auto" w:fill="FFFFFF"/>
        <w:spacing w:after="24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62CE52A3" w14:textId="77777777" w:rsidR="00A927C7" w:rsidRPr="00A927C7" w:rsidRDefault="00A927C7" w:rsidP="00A927C7">
      <w:pPr>
        <w:shd w:val="clear" w:color="auto" w:fill="FFFFFF"/>
        <w:spacing w:after="24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shd w:val="clear" w:color="auto" w:fill="FFFFFF"/>
          <w:lang w:eastAsia="ru-RU"/>
        </w:rPr>
        <w:t>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должности.</w:t>
      </w:r>
    </w:p>
    <w:p w14:paraId="2045236A" w14:textId="77777777" w:rsidR="00A927C7" w:rsidRPr="00A927C7" w:rsidRDefault="00A927C7" w:rsidP="00A927C7">
      <w:pPr>
        <w:shd w:val="clear" w:color="auto" w:fill="FFFFFF"/>
        <w:spacing w:after="0" w:line="273" w:lineRule="atLeast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4. Кто освобождается от аттестации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Утвержденный Порядок не касается профессорско-преподавательского состава.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 xml:space="preserve">Аттестацию в целях подтверждения соответствия занимаемой должности не проходят следующие </w:t>
      </w:r>
      <w:proofErr w:type="spellStart"/>
      <w:proofErr w:type="gramStart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педработники</w:t>
      </w:r>
      <w:proofErr w:type="spell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: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а</w:t>
      </w:r>
      <w:proofErr w:type="gram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) педагогические работники, имеющие квалификационные категории;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б) проработавшие в занимаемой должности менее двух лет в организации, в которой проводится аттестация;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в) беременные женщины;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 xml:space="preserve">г) женщины, находящиеся в отпуске по беременности и родам. Аттестация их возможна не ранее чем через два года после выхода из указанного </w:t>
      </w:r>
      <w:proofErr w:type="gramStart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отпуска;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д</w:t>
      </w:r>
      <w:proofErr w:type="gram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) лица, находящиеся в отпуске по уходу за ребенком до достижения им возраста трех лет. Аттестация их возможна не ранее чем через два года после выхода из указанного </w:t>
      </w:r>
      <w:proofErr w:type="gramStart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отпуска;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е</w:t>
      </w:r>
      <w:proofErr w:type="gramEnd"/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) отсутствовавшие на рабочем месте более четырех месяцев подряд в связи с заболеванием. Аттестация их возможна не ранее чем через год после выхода на работу. 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5.Периодичность и сроки аттестации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Аттестация проводится 1 раз в 5 лет.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Квалификационная категория присваивается сроком на 5 лет.</w:t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</w:r>
      <w:r w:rsidRPr="00A927C7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br/>
        <w:t>Срок действия квалификационной категории продлению не подлежит.</w:t>
      </w:r>
    </w:p>
    <w:p w14:paraId="176C5813" w14:textId="77777777" w:rsidR="00A927C7" w:rsidRPr="00A927C7" w:rsidRDefault="00A927C7" w:rsidP="00A927C7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327B9E14" w14:textId="77777777" w:rsidR="00A927C7" w:rsidRPr="00A927C7" w:rsidRDefault="00A927C7" w:rsidP="00A927C7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shd w:val="clear" w:color="auto" w:fill="FFFFFF"/>
          <w:lang w:eastAsia="ru-RU"/>
        </w:rPr>
        <w:t>С Приказом   </w:t>
      </w:r>
      <w:r w:rsidRPr="00A927C7">
        <w:rPr>
          <w:rFonts w:ascii="Georgia" w:eastAsia="Times New Roman" w:hAnsi="Georgia" w:cs="Times New Roman"/>
          <w:i/>
          <w:iCs/>
          <w:color w:val="444444"/>
          <w:sz w:val="24"/>
          <w:szCs w:val="24"/>
          <w:lang w:eastAsia="ru-RU"/>
        </w:rPr>
        <w:t>о</w:t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4"/>
          <w:szCs w:val="24"/>
          <w:lang w:eastAsia="ru-RU"/>
        </w:rPr>
        <w:t>т </w:t>
      </w:r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7 апреля 2014 г. № </w:t>
      </w:r>
      <w:proofErr w:type="gramStart"/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276  можно</w:t>
      </w:r>
      <w:proofErr w:type="gramEnd"/>
      <w:r w:rsidRPr="00A927C7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 xml:space="preserve"> ознакомиться </w:t>
      </w:r>
      <w:hyperlink r:id="rId6" w:anchor="heading=h.gjdgxs" w:tgtFrame="_blank" w:history="1">
        <w:r w:rsidRPr="00A927C7">
          <w:rPr>
            <w:rFonts w:ascii="Georgia" w:eastAsia="Times New Roman" w:hAnsi="Georgia" w:cs="Times New Roman"/>
            <w:b/>
            <w:bCs/>
            <w:i/>
            <w:iCs/>
            <w:color w:val="4D469C"/>
            <w:sz w:val="20"/>
            <w:szCs w:val="20"/>
            <w:u w:val="single"/>
            <w:lang w:eastAsia="ru-RU"/>
          </w:rPr>
          <w:t>здесь</w:t>
        </w:r>
      </w:hyperlink>
    </w:p>
    <w:p w14:paraId="4B6C428D" w14:textId="77777777" w:rsidR="00A04F3E" w:rsidRDefault="00A04F3E"/>
    <w:sectPr w:rsidR="00A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C7"/>
    <w:rsid w:val="00A04F3E"/>
    <w:rsid w:val="00A9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E541C"/>
  <w15:chartTrackingRefBased/>
  <w15:docId w15:val="{A8CC2A7A-0684-40E6-A11A-2AB712140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27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27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927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7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27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7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927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A92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09026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79277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07432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6106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6743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357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1673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5674">
              <w:marLeft w:val="60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16801">
              <w:marLeft w:val="0"/>
              <w:marRight w:val="0"/>
              <w:marTop w:val="0"/>
              <w:marBottom w:val="0"/>
              <w:divBdr>
                <w:top w:val="single" w:sz="6" w:space="6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9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JwraC0AVaRBF__WCHh5MBKBTbsWRHa-_ioT7Ky8B6Y/edi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uprobr.ucoz.ru/_tbkp/2011-04-28_141817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Конев</dc:creator>
  <cp:keywords/>
  <dc:description/>
  <cp:lastModifiedBy>Андрей Конев</cp:lastModifiedBy>
  <cp:revision>1</cp:revision>
  <dcterms:created xsi:type="dcterms:W3CDTF">2014-12-07T18:02:00Z</dcterms:created>
  <dcterms:modified xsi:type="dcterms:W3CDTF">2014-12-07T18:03:00Z</dcterms:modified>
</cp:coreProperties>
</file>